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33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46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0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0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481330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498475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1090295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45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29, 2021</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86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Ana Graciela de Méndez</w:t>
      </w:r>
    </w:p>
    <w:p>
      <w:pPr>
        <w:spacing w:after="0" w:line="23" w:lineRule="exact"/>
        <w:rPr>
          <w:sz w:val="20"/>
          <w:szCs w:val="20"/>
          <w:color w:val="auto"/>
        </w:rPr>
      </w:pPr>
    </w:p>
    <w:p>
      <w:pPr>
        <w:ind w:left="5860"/>
        <w:spacing w:after="0"/>
        <w:rPr>
          <w:sz w:val="20"/>
          <w:szCs w:val="20"/>
          <w:color w:val="auto"/>
        </w:rPr>
      </w:pPr>
      <w:r>
        <w:rPr>
          <w:rFonts w:ascii="Arial" w:cs="Arial" w:eastAsia="Arial" w:hAnsi="Arial"/>
          <w:sz w:val="18"/>
          <w:szCs w:val="18"/>
          <w:color w:val="auto"/>
        </w:rPr>
        <w:t>Name: Ana Graciela de Méndez</w:t>
      </w:r>
    </w:p>
    <w:p>
      <w:pPr>
        <w:spacing w:after="0" w:line="9" w:lineRule="exact"/>
        <w:rPr>
          <w:sz w:val="20"/>
          <w:szCs w:val="20"/>
          <w:color w:val="auto"/>
        </w:rPr>
      </w:pPr>
    </w:p>
    <w:p>
      <w:pPr>
        <w:ind w:left="586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708660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294005</wp:posOffset>
            </wp:positionH>
            <wp:positionV relativeFrom="page">
              <wp:posOffset>723265</wp:posOffset>
            </wp:positionV>
            <wp:extent cx="6995160" cy="1397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6995160" cy="13976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THIRD QUARTER 2021 PROFIT OF $15.7 MILLION, OR $0.41 PER SHARE,</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ON THE ACCOUNT OF HIGHER TOP-LINE REVENUES AND SUSTAINED CREDIT GROWTH</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29, 2021</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w:t>
      </w:r>
      <w:r>
        <w:rPr>
          <w:rFonts w:ascii="Arial" w:cs="Arial" w:eastAsia="Arial" w:hAnsi="Arial"/>
          <w:sz w:val="18"/>
          <w:szCs w:val="18"/>
          <w:b w:val="1"/>
          <w:bCs w:val="1"/>
          <w:color w:val="auto"/>
        </w:rPr>
        <w:t xml:space="preserve"> </w:t>
      </w:r>
      <w:r>
        <w:rPr>
          <w:rFonts w:ascii="Arial" w:cs="Arial" w:eastAsia="Arial" w:hAnsi="Arial"/>
          <w:sz w:val="18"/>
          <w:szCs w:val="18"/>
          <w:color w:val="auto"/>
        </w:rPr>
        <w:t>by the central banks of 23 Latin-American and Caribbean countries to promote foreign trade and economic integration in the Region, today announced its results for the Third Quarter (“3Q21”) and nine months (“9M21”) ended September 30, 2021.</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76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9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6760" w:type="dxa"/>
            <w:vAlign w:val="bottom"/>
            <w:vMerge w:val="restart"/>
          </w:tcPr>
          <w:p>
            <w:pPr>
              <w:ind w:left="100"/>
              <w:spacing w:after="0"/>
              <w:rPr>
                <w:sz w:val="20"/>
                <w:szCs w:val="20"/>
                <w:color w:val="auto"/>
              </w:rPr>
            </w:pPr>
            <w:r>
              <w:rPr>
                <w:rFonts w:ascii="Arial" w:cs="Arial" w:eastAsia="Arial" w:hAnsi="Arial"/>
                <w:sz w:val="18"/>
                <w:szCs w:val="18"/>
                <w:color w:val="404040"/>
              </w:rPr>
              <w:t>(US$ million, except percentages and per share amounts)</w:t>
            </w:r>
          </w:p>
        </w:tc>
        <w:tc>
          <w:tcPr>
            <w:tcW w:w="920" w:type="dxa"/>
            <w:vAlign w:val="bottom"/>
          </w:tcPr>
          <w:p>
            <w:pPr>
              <w:spacing w:after="0"/>
              <w:rPr>
                <w:sz w:val="18"/>
                <w:szCs w:val="18"/>
                <w:color w:val="auto"/>
              </w:rPr>
            </w:pPr>
          </w:p>
        </w:tc>
        <w:tc>
          <w:tcPr>
            <w:tcW w:w="960" w:type="dxa"/>
            <w:vAlign w:val="bottom"/>
            <w:vMerge w:val="restart"/>
          </w:tcPr>
          <w:p>
            <w:pPr>
              <w:jc w:val="right"/>
              <w:ind w:right="230"/>
              <w:spacing w:after="0"/>
              <w:rPr>
                <w:sz w:val="20"/>
                <w:szCs w:val="20"/>
                <w:color w:val="auto"/>
              </w:rPr>
            </w:pPr>
            <w:r>
              <w:rPr>
                <w:rFonts w:ascii="Arial" w:cs="Arial" w:eastAsia="Arial" w:hAnsi="Arial"/>
                <w:sz w:val="18"/>
                <w:szCs w:val="18"/>
                <w:b w:val="1"/>
                <w:bCs w:val="1"/>
                <w:color w:val="404040"/>
              </w:rPr>
              <w:t>2Q21</w:t>
            </w:r>
          </w:p>
        </w:tc>
        <w:tc>
          <w:tcPr>
            <w:tcW w:w="820" w:type="dxa"/>
            <w:vAlign w:val="bottom"/>
            <w:vMerge w:val="restart"/>
          </w:tcPr>
          <w:p>
            <w:pPr>
              <w:jc w:val="right"/>
              <w:ind w:right="150"/>
              <w:spacing w:after="0"/>
              <w:rPr>
                <w:sz w:val="20"/>
                <w:szCs w:val="20"/>
                <w:color w:val="auto"/>
              </w:rPr>
            </w:pPr>
            <w:r>
              <w:rPr>
                <w:rFonts w:ascii="Arial" w:cs="Arial" w:eastAsia="Arial" w:hAnsi="Arial"/>
                <w:sz w:val="18"/>
                <w:szCs w:val="18"/>
                <w:b w:val="1"/>
                <w:bCs w:val="1"/>
                <w:color w:val="404040"/>
              </w:rPr>
              <w:t>3Q20</w:t>
            </w:r>
          </w:p>
        </w:tc>
        <w:tc>
          <w:tcPr>
            <w:tcW w:w="900" w:type="dxa"/>
            <w:vAlign w:val="bottom"/>
          </w:tcPr>
          <w:p>
            <w:pPr>
              <w:spacing w:after="0"/>
              <w:rPr>
                <w:sz w:val="18"/>
                <w:szCs w:val="18"/>
                <w:color w:val="auto"/>
              </w:rPr>
            </w:pPr>
          </w:p>
        </w:tc>
        <w:tc>
          <w:tcPr>
            <w:tcW w:w="880" w:type="dxa"/>
            <w:vAlign w:val="bottom"/>
            <w:vMerge w:val="restart"/>
          </w:tcPr>
          <w:p>
            <w:pPr>
              <w:jc w:val="right"/>
              <w:ind w:right="130"/>
              <w:spacing w:after="0"/>
              <w:rPr>
                <w:sz w:val="20"/>
                <w:szCs w:val="20"/>
                <w:color w:val="auto"/>
              </w:rPr>
            </w:pPr>
            <w:r>
              <w:rPr>
                <w:rFonts w:ascii="Arial" w:cs="Arial" w:eastAsia="Arial" w:hAnsi="Arial"/>
                <w:sz w:val="18"/>
                <w:szCs w:val="18"/>
                <w:b w:val="1"/>
                <w:bCs w:val="1"/>
                <w:color w:val="404040"/>
              </w:rPr>
              <w:t>9M20</w:t>
            </w:r>
          </w:p>
        </w:tc>
        <w:tc>
          <w:tcPr>
            <w:tcW w:w="0" w:type="dxa"/>
            <w:vAlign w:val="bottom"/>
          </w:tcPr>
          <w:p>
            <w:pPr>
              <w:spacing w:after="0"/>
              <w:rPr>
                <w:sz w:val="1"/>
                <w:szCs w:val="1"/>
                <w:color w:val="auto"/>
              </w:rPr>
            </w:pPr>
          </w:p>
        </w:tc>
      </w:tr>
      <w:tr>
        <w:trPr>
          <w:trHeight w:val="237"/>
        </w:trPr>
        <w:tc>
          <w:tcPr>
            <w:tcW w:w="6760" w:type="dxa"/>
            <w:vAlign w:val="bottom"/>
            <w:tcBorders>
              <w:bottom w:val="single" w:sz="8" w:color="44546A"/>
            </w:tcBorders>
            <w:vMerge w:val="continue"/>
          </w:tcPr>
          <w:p>
            <w:pPr>
              <w:spacing w:after="0"/>
              <w:rPr>
                <w:sz w:val="20"/>
                <w:szCs w:val="20"/>
                <w:color w:val="auto"/>
              </w:rPr>
            </w:pPr>
          </w:p>
        </w:tc>
        <w:tc>
          <w:tcPr>
            <w:tcW w:w="920" w:type="dxa"/>
            <w:vAlign w:val="bottom"/>
            <w:tcBorders>
              <w:left w:val="single" w:sz="8" w:color="44546A"/>
              <w:bottom w:val="single" w:sz="8" w:color="44546A"/>
              <w:right w:val="single" w:sz="8" w:color="44546A"/>
            </w:tcBorders>
            <w:shd w:val="clear" w:color="auto" w:fill="44546A"/>
          </w:tcPr>
          <w:p>
            <w:pPr>
              <w:jc w:val="right"/>
              <w:ind w:right="170"/>
              <w:spacing w:after="0"/>
              <w:rPr>
                <w:sz w:val="20"/>
                <w:szCs w:val="20"/>
                <w:color w:val="auto"/>
              </w:rPr>
            </w:pPr>
            <w:r>
              <w:rPr>
                <w:rFonts w:ascii="Arial" w:cs="Arial" w:eastAsia="Arial" w:hAnsi="Arial"/>
                <w:sz w:val="18"/>
                <w:szCs w:val="18"/>
                <w:b w:val="1"/>
                <w:bCs w:val="1"/>
                <w:color w:val="F2F2F2"/>
              </w:rPr>
              <w:t>3Q21</w:t>
            </w:r>
          </w:p>
        </w:tc>
        <w:tc>
          <w:tcPr>
            <w:tcW w:w="960" w:type="dxa"/>
            <w:vAlign w:val="bottom"/>
            <w:tcBorders>
              <w:bottom w:val="single" w:sz="8" w:color="44546A"/>
            </w:tcBorders>
            <w:vMerge w:val="continue"/>
          </w:tcPr>
          <w:p>
            <w:pPr>
              <w:spacing w:after="0"/>
              <w:rPr>
                <w:sz w:val="20"/>
                <w:szCs w:val="20"/>
                <w:color w:val="auto"/>
              </w:rPr>
            </w:pPr>
          </w:p>
        </w:tc>
        <w:tc>
          <w:tcPr>
            <w:tcW w:w="820" w:type="dxa"/>
            <w:vAlign w:val="bottom"/>
            <w:tcBorders>
              <w:bottom w:val="single" w:sz="8" w:color="44546A"/>
            </w:tcBorders>
            <w:vMerge w:val="continue"/>
          </w:tcPr>
          <w:p>
            <w:pPr>
              <w:spacing w:after="0"/>
              <w:rPr>
                <w:sz w:val="20"/>
                <w:szCs w:val="20"/>
                <w:color w:val="auto"/>
              </w:rPr>
            </w:pPr>
          </w:p>
        </w:tc>
        <w:tc>
          <w:tcPr>
            <w:tcW w:w="900" w:type="dxa"/>
            <w:vAlign w:val="bottom"/>
            <w:tcBorders>
              <w:left w:val="single" w:sz="8" w:color="44546A"/>
              <w:bottom w:val="single" w:sz="8" w:color="44546A"/>
              <w:right w:val="single" w:sz="8" w:color="44546A"/>
            </w:tcBorders>
            <w:shd w:val="clear" w:color="auto" w:fill="44546A"/>
          </w:tcPr>
          <w:p>
            <w:pPr>
              <w:jc w:val="right"/>
              <w:ind w:right="130"/>
              <w:spacing w:after="0"/>
              <w:rPr>
                <w:sz w:val="20"/>
                <w:szCs w:val="20"/>
                <w:color w:val="auto"/>
              </w:rPr>
            </w:pPr>
            <w:r>
              <w:rPr>
                <w:rFonts w:ascii="Arial" w:cs="Arial" w:eastAsia="Arial" w:hAnsi="Arial"/>
                <w:sz w:val="18"/>
                <w:szCs w:val="18"/>
                <w:b w:val="1"/>
                <w:bCs w:val="1"/>
                <w:color w:val="F2F2F2"/>
              </w:rPr>
              <w:t>9M21</w:t>
            </w:r>
          </w:p>
        </w:tc>
        <w:tc>
          <w:tcPr>
            <w:tcW w:w="880" w:type="dxa"/>
            <w:vAlign w:val="bottom"/>
            <w:tcBorders>
              <w:bottom w:val="single" w:sz="8" w:color="44546A"/>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6760" w:type="dxa"/>
            <w:vAlign w:val="bottom"/>
          </w:tcPr>
          <w:p>
            <w:pPr>
              <w:ind w:left="100"/>
              <w:spacing w:after="0" w:line="201" w:lineRule="exact"/>
              <w:rPr>
                <w:sz w:val="20"/>
                <w:szCs w:val="20"/>
                <w:color w:val="auto"/>
              </w:rPr>
            </w:pPr>
            <w:r>
              <w:rPr>
                <w:rFonts w:ascii="Arial" w:cs="Arial" w:eastAsia="Arial" w:hAnsi="Arial"/>
                <w:sz w:val="18"/>
                <w:szCs w:val="18"/>
                <w:b w:val="1"/>
                <w:bCs w:val="1"/>
                <w:color w:val="auto"/>
              </w:rPr>
              <w:t>Key Income Statement Highlights</w:t>
            </w:r>
          </w:p>
        </w:tc>
        <w:tc>
          <w:tcPr>
            <w:tcW w:w="920" w:type="dxa"/>
            <w:vAlign w:val="bottom"/>
            <w:tcBorders>
              <w:left w:val="single" w:sz="8" w:color="44546A"/>
              <w:right w:val="single" w:sz="8" w:color="44546A"/>
            </w:tcBorders>
          </w:tcPr>
          <w:p>
            <w:pPr>
              <w:spacing w:after="0"/>
              <w:rPr>
                <w:sz w:val="17"/>
                <w:szCs w:val="17"/>
                <w:color w:val="auto"/>
              </w:rPr>
            </w:pPr>
          </w:p>
        </w:tc>
        <w:tc>
          <w:tcPr>
            <w:tcW w:w="96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900" w:type="dxa"/>
            <w:vAlign w:val="bottom"/>
            <w:tcBorders>
              <w:left w:val="single" w:sz="8" w:color="44546A"/>
              <w:right w:val="single" w:sz="8" w:color="44546A"/>
            </w:tcBorders>
          </w:tcPr>
          <w:p>
            <w:pPr>
              <w:spacing w:after="0"/>
              <w:rPr>
                <w:sz w:val="17"/>
                <w:szCs w:val="17"/>
                <w:color w:val="auto"/>
              </w:rPr>
            </w:pPr>
          </w:p>
        </w:tc>
        <w:tc>
          <w:tcPr>
            <w:tcW w:w="8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Net Interest Income ("NII")</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$22.1</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$21.0</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$22.6</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$62.0</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$70.1</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Fees and commissions, net</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$4.8</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$4.3</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$2.6</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$12.1</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(Loss) gain on financial instruments, net</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($0.1)</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$0.2</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($0.4)</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$0.1</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($4.7)</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Other income, net</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$0.1</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$0.1</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$0.4</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$0.3</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$0.8</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Total revenues</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$26.8</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$25.6</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$25.2</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$74.4</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$73.8</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(Provision for) reversal of credit losses</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($0.8)</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($1.4)</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($1.5)</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($2.2)</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Gain on non-financial assets, net</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$0.0</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$0.0</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$0.1</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$0.0</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Operating expenses</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($10.3)</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($10.1)</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($8.3)</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($29.6)</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($27.2)</w:t>
            </w:r>
          </w:p>
        </w:tc>
        <w:tc>
          <w:tcPr>
            <w:tcW w:w="0" w:type="dxa"/>
            <w:vAlign w:val="bottom"/>
          </w:tcPr>
          <w:p>
            <w:pPr>
              <w:spacing w:after="0"/>
              <w:rPr>
                <w:sz w:val="1"/>
                <w:szCs w:val="1"/>
                <w:color w:val="auto"/>
              </w:rPr>
            </w:pPr>
          </w:p>
        </w:tc>
      </w:tr>
      <w:tr>
        <w:trPr>
          <w:trHeight w:val="212"/>
        </w:trPr>
        <w:tc>
          <w:tcPr>
            <w:tcW w:w="6760" w:type="dxa"/>
            <w:vAlign w:val="bottom"/>
          </w:tcPr>
          <w:p>
            <w:pPr>
              <w:ind w:left="100"/>
              <w:spacing w:after="0"/>
              <w:rPr>
                <w:sz w:val="20"/>
                <w:szCs w:val="20"/>
                <w:color w:val="auto"/>
              </w:rPr>
            </w:pPr>
            <w:r>
              <w:rPr>
                <w:rFonts w:ascii="Arial" w:cs="Arial" w:eastAsia="Arial" w:hAnsi="Arial"/>
                <w:sz w:val="18"/>
                <w:szCs w:val="18"/>
                <w:color w:val="auto"/>
              </w:rPr>
              <w:t>Profit for the period</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$15.7</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$14.1</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$15.4</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$42.6</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$47.9</w:t>
            </w:r>
          </w:p>
        </w:tc>
        <w:tc>
          <w:tcPr>
            <w:tcW w:w="0" w:type="dxa"/>
            <w:vAlign w:val="bottom"/>
          </w:tcPr>
          <w:p>
            <w:pPr>
              <w:spacing w:after="0"/>
              <w:rPr>
                <w:sz w:val="1"/>
                <w:szCs w:val="1"/>
                <w:color w:val="auto"/>
              </w:rPr>
            </w:pPr>
          </w:p>
        </w:tc>
      </w:tr>
      <w:tr>
        <w:trPr>
          <w:trHeight w:val="224"/>
        </w:trPr>
        <w:tc>
          <w:tcPr>
            <w:tcW w:w="6760" w:type="dxa"/>
            <w:vAlign w:val="bottom"/>
          </w:tcPr>
          <w:p>
            <w:pPr>
              <w:ind w:left="100"/>
              <w:spacing w:after="0"/>
              <w:rPr>
                <w:sz w:val="20"/>
                <w:szCs w:val="20"/>
                <w:color w:val="auto"/>
              </w:rPr>
            </w:pPr>
            <w:r>
              <w:rPr>
                <w:rFonts w:ascii="Arial" w:cs="Arial" w:eastAsia="Arial" w:hAnsi="Arial"/>
                <w:sz w:val="18"/>
                <w:szCs w:val="18"/>
                <w:b w:val="1"/>
                <w:bCs w:val="1"/>
                <w:color w:val="auto"/>
              </w:rPr>
              <w:t>Profitability Ratios</w:t>
            </w:r>
          </w:p>
        </w:tc>
        <w:tc>
          <w:tcPr>
            <w:tcW w:w="920" w:type="dxa"/>
            <w:vAlign w:val="bottom"/>
            <w:tcBorders>
              <w:left w:val="single" w:sz="8" w:color="44546A"/>
              <w:right w:val="single" w:sz="8" w:color="44546A"/>
            </w:tcBorders>
          </w:tcPr>
          <w:p>
            <w:pPr>
              <w:spacing w:after="0"/>
              <w:rPr>
                <w:sz w:val="19"/>
                <w:szCs w:val="19"/>
                <w:color w:val="auto"/>
              </w:rPr>
            </w:pPr>
          </w:p>
        </w:tc>
        <w:tc>
          <w:tcPr>
            <w:tcW w:w="9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900" w:type="dxa"/>
            <w:vAlign w:val="bottom"/>
            <w:tcBorders>
              <w:left w:val="single" w:sz="8" w:color="44546A"/>
              <w:right w:val="single" w:sz="8" w:color="44546A"/>
            </w:tcBorders>
          </w:tcPr>
          <w:p>
            <w:pPr>
              <w:spacing w:after="0"/>
              <w:rPr>
                <w:sz w:val="19"/>
                <w:szCs w:val="19"/>
                <w:color w:val="auto"/>
              </w:rPr>
            </w:pPr>
          </w:p>
        </w:tc>
        <w:tc>
          <w:tcPr>
            <w:tcW w:w="8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6"/>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$0.41</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$0.36</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$0.39</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$1.08</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$1.21</w:t>
            </w:r>
          </w:p>
        </w:tc>
        <w:tc>
          <w:tcPr>
            <w:tcW w:w="0" w:type="dxa"/>
            <w:vAlign w:val="bottom"/>
          </w:tcPr>
          <w:p>
            <w:pPr>
              <w:spacing w:after="0"/>
              <w:rPr>
                <w:sz w:val="1"/>
                <w:szCs w:val="1"/>
                <w:color w:val="auto"/>
              </w:rPr>
            </w:pPr>
          </w:p>
        </w:tc>
      </w:tr>
      <w:tr>
        <w:trPr>
          <w:trHeight w:val="253"/>
        </w:trPr>
        <w:tc>
          <w:tcPr>
            <w:tcW w:w="6760" w:type="dxa"/>
            <w:vAlign w:val="bottom"/>
          </w:tcPr>
          <w:p>
            <w:pPr>
              <w:ind w:left="100"/>
              <w:spacing w:after="0" w:line="252"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6.1%</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5.4%</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6.0%</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5.5%</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6.2%</w:t>
            </w:r>
          </w:p>
        </w:tc>
        <w:tc>
          <w:tcPr>
            <w:tcW w:w="0" w:type="dxa"/>
            <w:vAlign w:val="bottom"/>
          </w:tcPr>
          <w:p>
            <w:pPr>
              <w:spacing w:after="0"/>
              <w:rPr>
                <w:sz w:val="1"/>
                <w:szCs w:val="1"/>
                <w:color w:val="auto"/>
              </w:rPr>
            </w:pPr>
          </w:p>
        </w:tc>
      </w:tr>
      <w:tr>
        <w:trPr>
          <w:trHeight w:val="220"/>
        </w:trPr>
        <w:tc>
          <w:tcPr>
            <w:tcW w:w="6760" w:type="dxa"/>
            <w:vAlign w:val="bottom"/>
          </w:tcPr>
          <w:p>
            <w:pPr>
              <w:ind w:left="100"/>
              <w:spacing w:after="0"/>
              <w:rPr>
                <w:sz w:val="20"/>
                <w:szCs w:val="20"/>
                <w:color w:val="auto"/>
              </w:rPr>
            </w:pPr>
            <w:r>
              <w:rPr>
                <w:rFonts w:ascii="Arial" w:cs="Arial" w:eastAsia="Arial" w:hAnsi="Arial"/>
                <w:sz w:val="18"/>
                <w:szCs w:val="18"/>
                <w:color w:val="auto"/>
              </w:rPr>
              <w:t>Return on Average Assets (“ROAA”)</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0.9%</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0.8%</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1.0%</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0.9%</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57"/>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1.33%</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1.27%</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1.42%</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1.28%</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1.43%</w:t>
            </w:r>
          </w:p>
        </w:tc>
        <w:tc>
          <w:tcPr>
            <w:tcW w:w="0" w:type="dxa"/>
            <w:vAlign w:val="bottom"/>
          </w:tcPr>
          <w:p>
            <w:pPr>
              <w:spacing w:after="0"/>
              <w:rPr>
                <w:sz w:val="1"/>
                <w:szCs w:val="1"/>
                <w:color w:val="auto"/>
              </w:rPr>
            </w:pPr>
          </w:p>
        </w:tc>
      </w:tr>
      <w:tr>
        <w:trPr>
          <w:trHeight w:val="256"/>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1.17%</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1.11%</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1.19%</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1.11%</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1.12%</w:t>
            </w:r>
          </w:p>
        </w:tc>
        <w:tc>
          <w:tcPr>
            <w:tcW w:w="0" w:type="dxa"/>
            <w:vAlign w:val="bottom"/>
          </w:tcPr>
          <w:p>
            <w:pPr>
              <w:spacing w:after="0"/>
              <w:rPr>
                <w:sz w:val="1"/>
                <w:szCs w:val="1"/>
                <w:color w:val="auto"/>
              </w:rPr>
            </w:pPr>
          </w:p>
        </w:tc>
      </w:tr>
      <w:tr>
        <w:trPr>
          <w:trHeight w:val="249"/>
        </w:trPr>
        <w:tc>
          <w:tcPr>
            <w:tcW w:w="6760" w:type="dxa"/>
            <w:vAlign w:val="bottom"/>
          </w:tcPr>
          <w:p>
            <w:pPr>
              <w:ind w:left="100"/>
              <w:spacing w:after="0" w:line="249" w:lineRule="exact"/>
              <w:rPr>
                <w:sz w:val="20"/>
                <w:szCs w:val="20"/>
                <w:color w:val="auto"/>
              </w:rPr>
            </w:pPr>
            <w:r>
              <w:rPr>
                <w:rFonts w:ascii="Arial" w:cs="Arial" w:eastAsia="Arial" w:hAnsi="Arial"/>
                <w:sz w:val="17"/>
                <w:szCs w:val="17"/>
                <w:color w:val="auto"/>
              </w:rPr>
              <w:t xml:space="preserve">Efficiency Ratio </w:t>
            </w:r>
            <w:r>
              <w:rPr>
                <w:rFonts w:ascii="Arial" w:cs="Arial" w:eastAsia="Arial" w:hAnsi="Arial"/>
                <w:sz w:val="28"/>
                <w:szCs w:val="28"/>
                <w:color w:val="auto"/>
                <w:vertAlign w:val="superscript"/>
              </w:rPr>
              <w:t>(5)</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38.5%</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39.6%</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33.1%</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39.8%</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36.8%</w:t>
            </w:r>
          </w:p>
        </w:tc>
        <w:tc>
          <w:tcPr>
            <w:tcW w:w="0" w:type="dxa"/>
            <w:vAlign w:val="bottom"/>
          </w:tcPr>
          <w:p>
            <w:pPr>
              <w:spacing w:after="0"/>
              <w:rPr>
                <w:sz w:val="1"/>
                <w:szCs w:val="1"/>
                <w:color w:val="auto"/>
              </w:rPr>
            </w:pPr>
          </w:p>
        </w:tc>
      </w:tr>
      <w:tr>
        <w:trPr>
          <w:trHeight w:val="224"/>
        </w:trPr>
        <w:tc>
          <w:tcPr>
            <w:tcW w:w="6760" w:type="dxa"/>
            <w:vAlign w:val="bottom"/>
          </w:tcPr>
          <w:p>
            <w:pPr>
              <w:ind w:left="100"/>
              <w:spacing w:after="0"/>
              <w:rPr>
                <w:sz w:val="20"/>
                <w:szCs w:val="20"/>
                <w:color w:val="auto"/>
              </w:rPr>
            </w:pPr>
            <w:r>
              <w:rPr>
                <w:rFonts w:ascii="Arial" w:cs="Arial" w:eastAsia="Arial" w:hAnsi="Arial"/>
                <w:sz w:val="18"/>
                <w:szCs w:val="18"/>
                <w:b w:val="1"/>
                <w:bCs w:val="1"/>
                <w:color w:val="auto"/>
              </w:rPr>
              <w:t>Assets, Capital, Liquidity &amp; Credit Quality</w:t>
            </w:r>
          </w:p>
        </w:tc>
        <w:tc>
          <w:tcPr>
            <w:tcW w:w="920" w:type="dxa"/>
            <w:vAlign w:val="bottom"/>
            <w:tcBorders>
              <w:left w:val="single" w:sz="8" w:color="44546A"/>
              <w:right w:val="single" w:sz="8" w:color="44546A"/>
            </w:tcBorders>
          </w:tcPr>
          <w:p>
            <w:pPr>
              <w:spacing w:after="0"/>
              <w:rPr>
                <w:sz w:val="19"/>
                <w:szCs w:val="19"/>
                <w:color w:val="auto"/>
              </w:rPr>
            </w:pPr>
          </w:p>
        </w:tc>
        <w:tc>
          <w:tcPr>
            <w:tcW w:w="9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900" w:type="dxa"/>
            <w:vAlign w:val="bottom"/>
            <w:tcBorders>
              <w:left w:val="single" w:sz="8" w:color="44546A"/>
              <w:right w:val="single" w:sz="8" w:color="44546A"/>
            </w:tcBorders>
          </w:tcPr>
          <w:p>
            <w:pPr>
              <w:spacing w:after="0"/>
              <w:rPr>
                <w:sz w:val="19"/>
                <w:szCs w:val="19"/>
                <w:color w:val="auto"/>
              </w:rPr>
            </w:pPr>
          </w:p>
        </w:tc>
        <w:tc>
          <w:tcPr>
            <w:tcW w:w="8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7"/>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$6,956</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$6,531</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$5,320</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$6,956</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$5,320</w:t>
            </w:r>
          </w:p>
        </w:tc>
        <w:tc>
          <w:tcPr>
            <w:tcW w:w="0" w:type="dxa"/>
            <w:vAlign w:val="bottom"/>
          </w:tcPr>
          <w:p>
            <w:pPr>
              <w:spacing w:after="0"/>
              <w:rPr>
                <w:sz w:val="1"/>
                <w:szCs w:val="1"/>
                <w:color w:val="auto"/>
              </w:rPr>
            </w:pPr>
          </w:p>
        </w:tc>
      </w:tr>
      <w:tr>
        <w:trPr>
          <w:trHeight w:val="253"/>
        </w:trPr>
        <w:tc>
          <w:tcPr>
            <w:tcW w:w="6760" w:type="dxa"/>
            <w:vAlign w:val="bottom"/>
          </w:tcPr>
          <w:p>
            <w:pPr>
              <w:ind w:left="100"/>
              <w:spacing w:after="0" w:line="252"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$6,188</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$6,008</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$5,087</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$6,188</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$5,087</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Investment Portfolio</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$768</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$523</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$234</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$768</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$234</w:t>
            </w:r>
          </w:p>
        </w:tc>
        <w:tc>
          <w:tcPr>
            <w:tcW w:w="0" w:type="dxa"/>
            <w:vAlign w:val="bottom"/>
          </w:tcPr>
          <w:p>
            <w:pPr>
              <w:spacing w:after="0"/>
              <w:rPr>
                <w:sz w:val="1"/>
                <w:szCs w:val="1"/>
                <w:color w:val="auto"/>
              </w:rPr>
            </w:pPr>
          </w:p>
        </w:tc>
      </w:tr>
      <w:tr>
        <w:trPr>
          <w:trHeight w:val="216"/>
        </w:trPr>
        <w:tc>
          <w:tcPr>
            <w:tcW w:w="6760" w:type="dxa"/>
            <w:vAlign w:val="bottom"/>
          </w:tcPr>
          <w:p>
            <w:pPr>
              <w:ind w:left="100"/>
              <w:spacing w:after="0"/>
              <w:rPr>
                <w:sz w:val="20"/>
                <w:szCs w:val="20"/>
                <w:color w:val="auto"/>
              </w:rPr>
            </w:pPr>
            <w:r>
              <w:rPr>
                <w:rFonts w:ascii="Arial" w:cs="Arial" w:eastAsia="Arial" w:hAnsi="Arial"/>
                <w:sz w:val="18"/>
                <w:szCs w:val="18"/>
                <w:color w:val="auto"/>
              </w:rPr>
              <w:t>Total assets</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$6,977</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$6,723</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$6,311</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$6,977</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$6,311</w:t>
            </w:r>
          </w:p>
        </w:tc>
        <w:tc>
          <w:tcPr>
            <w:tcW w:w="0" w:type="dxa"/>
            <w:vAlign w:val="bottom"/>
          </w:tcPr>
          <w:p>
            <w:pPr>
              <w:spacing w:after="0"/>
              <w:rPr>
                <w:sz w:val="1"/>
                <w:szCs w:val="1"/>
                <w:color w:val="auto"/>
              </w:rPr>
            </w:pPr>
          </w:p>
        </w:tc>
      </w:tr>
      <w:tr>
        <w:trPr>
          <w:trHeight w:val="220"/>
        </w:trPr>
        <w:tc>
          <w:tcPr>
            <w:tcW w:w="6760" w:type="dxa"/>
            <w:vAlign w:val="bottom"/>
          </w:tcPr>
          <w:p>
            <w:pPr>
              <w:ind w:left="100"/>
              <w:spacing w:after="0"/>
              <w:rPr>
                <w:sz w:val="20"/>
                <w:szCs w:val="20"/>
                <w:color w:val="auto"/>
              </w:rPr>
            </w:pPr>
            <w:r>
              <w:rPr>
                <w:rFonts w:ascii="Arial" w:cs="Arial" w:eastAsia="Arial" w:hAnsi="Arial"/>
                <w:sz w:val="18"/>
                <w:szCs w:val="18"/>
                <w:color w:val="auto"/>
              </w:rPr>
              <w:t>Total equity</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$1,013</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$1,031</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$1,026</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$1,013</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$1,026</w:t>
            </w:r>
          </w:p>
        </w:tc>
        <w:tc>
          <w:tcPr>
            <w:tcW w:w="0" w:type="dxa"/>
            <w:vAlign w:val="bottom"/>
          </w:tcPr>
          <w:p>
            <w:pPr>
              <w:spacing w:after="0"/>
              <w:rPr>
                <w:sz w:val="1"/>
                <w:szCs w:val="1"/>
                <w:color w:val="auto"/>
              </w:rPr>
            </w:pPr>
          </w:p>
        </w:tc>
      </w:tr>
      <w:tr>
        <w:trPr>
          <w:trHeight w:val="256"/>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$667</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$605</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$482</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$667</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$482</w:t>
            </w:r>
          </w:p>
        </w:tc>
        <w:tc>
          <w:tcPr>
            <w:tcW w:w="0" w:type="dxa"/>
            <w:vAlign w:val="bottom"/>
          </w:tcPr>
          <w:p>
            <w:pPr>
              <w:spacing w:after="0"/>
              <w:rPr>
                <w:sz w:val="1"/>
                <w:szCs w:val="1"/>
                <w:color w:val="auto"/>
              </w:rPr>
            </w:pPr>
          </w:p>
        </w:tc>
      </w:tr>
      <w:tr>
        <w:trPr>
          <w:trHeight w:val="256"/>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Tier 1 Capital to risk-weighted assets (Basel III – IRB) </w:t>
            </w:r>
            <w:r>
              <w:rPr>
                <w:rFonts w:ascii="Arial" w:cs="Arial" w:eastAsia="Arial" w:hAnsi="Arial"/>
                <w:sz w:val="29"/>
                <w:szCs w:val="29"/>
                <w:color w:val="auto"/>
                <w:vertAlign w:val="superscript"/>
              </w:rPr>
              <w:t>(9)</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21.3%</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23.6%</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26.5%</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21.3%</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26.5%</w:t>
            </w:r>
          </w:p>
        </w:tc>
        <w:tc>
          <w:tcPr>
            <w:tcW w:w="0" w:type="dxa"/>
            <w:vAlign w:val="bottom"/>
          </w:tcPr>
          <w:p>
            <w:pPr>
              <w:spacing w:after="0"/>
              <w:rPr>
                <w:sz w:val="1"/>
                <w:szCs w:val="1"/>
                <w:color w:val="auto"/>
              </w:rPr>
            </w:pPr>
          </w:p>
        </w:tc>
      </w:tr>
      <w:tr>
        <w:trPr>
          <w:trHeight w:val="253"/>
        </w:trPr>
        <w:tc>
          <w:tcPr>
            <w:tcW w:w="6760" w:type="dxa"/>
            <w:vAlign w:val="bottom"/>
          </w:tcPr>
          <w:p>
            <w:pPr>
              <w:ind w:left="100"/>
              <w:spacing w:after="0" w:line="252"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(10)</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16.9%</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18.2%</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21.8%</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16.9%</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21.8%</w:t>
            </w:r>
          </w:p>
        </w:tc>
        <w:tc>
          <w:tcPr>
            <w:tcW w:w="0" w:type="dxa"/>
            <w:vAlign w:val="bottom"/>
          </w:tcPr>
          <w:p>
            <w:pPr>
              <w:spacing w:after="0"/>
              <w:rPr>
                <w:sz w:val="1"/>
                <w:szCs w:val="1"/>
                <w:color w:val="auto"/>
              </w:rPr>
            </w:pPr>
          </w:p>
        </w:tc>
      </w:tr>
      <w:tr>
        <w:trPr>
          <w:trHeight w:val="220"/>
        </w:trPr>
        <w:tc>
          <w:tcPr>
            <w:tcW w:w="6760" w:type="dxa"/>
            <w:vAlign w:val="bottom"/>
          </w:tcPr>
          <w:p>
            <w:pPr>
              <w:ind w:left="100"/>
              <w:spacing w:after="0"/>
              <w:rPr>
                <w:sz w:val="20"/>
                <w:szCs w:val="20"/>
                <w:color w:val="auto"/>
              </w:rPr>
            </w:pPr>
            <w:r>
              <w:rPr>
                <w:rFonts w:ascii="Arial" w:cs="Arial" w:eastAsia="Arial" w:hAnsi="Arial"/>
                <w:sz w:val="18"/>
                <w:szCs w:val="18"/>
                <w:color w:val="auto"/>
              </w:rPr>
              <w:t>Total assets / Total equity (times)</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6.9</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6.5</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6.2</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6.9</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6.2</w:t>
            </w:r>
          </w:p>
        </w:tc>
        <w:tc>
          <w:tcPr>
            <w:tcW w:w="0" w:type="dxa"/>
            <w:vAlign w:val="bottom"/>
          </w:tcPr>
          <w:p>
            <w:pPr>
              <w:spacing w:after="0"/>
              <w:rPr>
                <w:sz w:val="1"/>
                <w:szCs w:val="1"/>
                <w:color w:val="auto"/>
              </w:rPr>
            </w:pPr>
          </w:p>
        </w:tc>
      </w:tr>
      <w:tr>
        <w:trPr>
          <w:trHeight w:val="256"/>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(11)</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11.9%</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14.9%</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23.2%</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11.9%</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23.2%</w:t>
            </w:r>
          </w:p>
        </w:tc>
        <w:tc>
          <w:tcPr>
            <w:tcW w:w="0" w:type="dxa"/>
            <w:vAlign w:val="bottom"/>
          </w:tcPr>
          <w:p>
            <w:pPr>
              <w:spacing w:after="0"/>
              <w:rPr>
                <w:sz w:val="1"/>
                <w:szCs w:val="1"/>
                <w:color w:val="auto"/>
              </w:rPr>
            </w:pPr>
          </w:p>
        </w:tc>
      </w:tr>
      <w:tr>
        <w:trPr>
          <w:trHeight w:val="256"/>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(12)</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0.2%</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0.2%</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0.0%</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0.2%</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56"/>
        </w:trPr>
        <w:tc>
          <w:tcPr>
            <w:tcW w:w="6760" w:type="dxa"/>
            <w:vAlign w:val="bottom"/>
          </w:tcPr>
          <w:p>
            <w:pPr>
              <w:ind w:left="100"/>
              <w:spacing w:after="0" w:line="256"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(13)</w:t>
            </w:r>
          </w:p>
        </w:tc>
        <w:tc>
          <w:tcPr>
            <w:tcW w:w="920" w:type="dxa"/>
            <w:vAlign w:val="bottom"/>
            <w:tcBorders>
              <w:left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0.7%</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0.7%</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0.8%</w:t>
            </w:r>
          </w:p>
        </w:tc>
        <w:tc>
          <w:tcPr>
            <w:tcW w:w="900" w:type="dxa"/>
            <w:vAlign w:val="bottom"/>
            <w:tcBorders>
              <w:left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0.7%</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0.8%</w:t>
            </w:r>
          </w:p>
        </w:tc>
        <w:tc>
          <w:tcPr>
            <w:tcW w:w="0" w:type="dxa"/>
            <w:vAlign w:val="bottom"/>
          </w:tcPr>
          <w:p>
            <w:pPr>
              <w:spacing w:after="0"/>
              <w:rPr>
                <w:sz w:val="1"/>
                <w:szCs w:val="1"/>
                <w:color w:val="auto"/>
              </w:rPr>
            </w:pPr>
          </w:p>
        </w:tc>
      </w:tr>
      <w:tr>
        <w:trPr>
          <w:trHeight w:val="267"/>
        </w:trPr>
        <w:tc>
          <w:tcPr>
            <w:tcW w:w="6760" w:type="dxa"/>
            <w:vAlign w:val="bottom"/>
          </w:tcPr>
          <w:p>
            <w:pPr>
              <w:ind w:left="100"/>
              <w:spacing w:after="0" w:line="267" w:lineRule="exact"/>
              <w:rPr>
                <w:sz w:val="20"/>
                <w:szCs w:val="20"/>
                <w:color w:val="auto"/>
              </w:rPr>
            </w:pPr>
            <w:r>
              <w:rPr>
                <w:rFonts w:ascii="Arial" w:cs="Arial" w:eastAsia="Arial" w:hAnsi="Arial"/>
                <w:sz w:val="18"/>
                <w:szCs w:val="18"/>
                <w:color w:val="auto"/>
              </w:rPr>
              <w:t xml:space="preserve">Total allowance for losses to credit-impaired loans (times) </w:t>
            </w:r>
            <w:r>
              <w:rPr>
                <w:rFonts w:ascii="Arial" w:cs="Arial" w:eastAsia="Arial" w:hAnsi="Arial"/>
                <w:sz w:val="29"/>
                <w:szCs w:val="29"/>
                <w:color w:val="auto"/>
                <w:vertAlign w:val="superscript"/>
              </w:rPr>
              <w:t>(13)</w:t>
            </w:r>
          </w:p>
        </w:tc>
        <w:tc>
          <w:tcPr>
            <w:tcW w:w="920" w:type="dxa"/>
            <w:vAlign w:val="bottom"/>
            <w:tcBorders>
              <w:left w:val="single" w:sz="8" w:color="44546A"/>
              <w:bottom w:val="single" w:sz="8" w:color="44546A"/>
              <w:right w:val="single" w:sz="8" w:color="44546A"/>
            </w:tcBorders>
          </w:tcPr>
          <w:p>
            <w:pPr>
              <w:jc w:val="right"/>
              <w:ind w:right="30"/>
              <w:spacing w:after="0"/>
              <w:rPr>
                <w:sz w:val="20"/>
                <w:szCs w:val="20"/>
                <w:color w:val="auto"/>
              </w:rPr>
            </w:pPr>
            <w:r>
              <w:rPr>
                <w:rFonts w:ascii="Arial" w:cs="Arial" w:eastAsia="Arial" w:hAnsi="Arial"/>
                <w:sz w:val="18"/>
                <w:szCs w:val="18"/>
                <w:color w:val="auto"/>
              </w:rPr>
              <w:t>4.4</w:t>
            </w:r>
          </w:p>
        </w:tc>
        <w:tc>
          <w:tcPr>
            <w:tcW w:w="960" w:type="dxa"/>
            <w:vAlign w:val="bottom"/>
          </w:tcPr>
          <w:p>
            <w:pPr>
              <w:jc w:val="right"/>
              <w:ind w:right="70"/>
              <w:spacing w:after="0"/>
              <w:rPr>
                <w:sz w:val="20"/>
                <w:szCs w:val="20"/>
                <w:color w:val="auto"/>
              </w:rPr>
            </w:pPr>
            <w:r>
              <w:rPr>
                <w:rFonts w:ascii="Arial" w:cs="Arial" w:eastAsia="Arial" w:hAnsi="Arial"/>
                <w:sz w:val="18"/>
                <w:szCs w:val="18"/>
                <w:color w:val="auto"/>
              </w:rPr>
              <w:t>4.4</w:t>
            </w:r>
          </w:p>
        </w:tc>
        <w:tc>
          <w:tcPr>
            <w:tcW w:w="820" w:type="dxa"/>
            <w:vAlign w:val="bottom"/>
          </w:tcPr>
          <w:p>
            <w:pPr>
              <w:jc w:val="right"/>
              <w:ind w:right="10"/>
              <w:spacing w:after="0"/>
              <w:rPr>
                <w:sz w:val="20"/>
                <w:szCs w:val="20"/>
                <w:color w:val="auto"/>
              </w:rPr>
            </w:pPr>
            <w:r>
              <w:rPr>
                <w:rFonts w:ascii="Arial" w:cs="Arial" w:eastAsia="Arial" w:hAnsi="Arial"/>
                <w:sz w:val="18"/>
                <w:szCs w:val="18"/>
                <w:color w:val="auto"/>
              </w:rPr>
              <w:t>n.m.</w:t>
            </w:r>
          </w:p>
        </w:tc>
        <w:tc>
          <w:tcPr>
            <w:tcW w:w="900" w:type="dxa"/>
            <w:vAlign w:val="bottom"/>
            <w:tcBorders>
              <w:left w:val="single" w:sz="8" w:color="44546A"/>
              <w:bottom w:val="single" w:sz="8" w:color="44546A"/>
              <w:right w:val="single" w:sz="8" w:color="44546A"/>
            </w:tcBorders>
          </w:tcPr>
          <w:p>
            <w:pPr>
              <w:jc w:val="right"/>
              <w:ind w:right="10"/>
              <w:spacing w:after="0"/>
              <w:rPr>
                <w:sz w:val="20"/>
                <w:szCs w:val="20"/>
                <w:color w:val="auto"/>
              </w:rPr>
            </w:pPr>
            <w:r>
              <w:rPr>
                <w:rFonts w:ascii="Arial" w:cs="Arial" w:eastAsia="Arial" w:hAnsi="Arial"/>
                <w:sz w:val="18"/>
                <w:szCs w:val="18"/>
                <w:color w:val="auto"/>
              </w:rPr>
              <w:t>4.4</w:t>
            </w:r>
          </w:p>
        </w:tc>
        <w:tc>
          <w:tcPr>
            <w:tcW w:w="880" w:type="dxa"/>
            <w:vAlign w:val="bottom"/>
          </w:tcPr>
          <w:p>
            <w:pPr>
              <w:jc w:val="right"/>
              <w:ind w:right="10"/>
              <w:spacing w:after="0"/>
              <w:rPr>
                <w:sz w:val="20"/>
                <w:szCs w:val="20"/>
                <w:color w:val="auto"/>
              </w:rPr>
            </w:pPr>
            <w:r>
              <w:rPr>
                <w:rFonts w:ascii="Arial" w:cs="Arial" w:eastAsia="Arial" w:hAnsi="Arial"/>
                <w:sz w:val="18"/>
                <w:szCs w:val="18"/>
                <w:color w:val="auto"/>
              </w:rPr>
              <w:t>n.m.</w:t>
            </w:r>
          </w:p>
        </w:tc>
        <w:tc>
          <w:tcPr>
            <w:tcW w:w="0" w:type="dxa"/>
            <w:vAlign w:val="bottom"/>
          </w:tcPr>
          <w:p>
            <w:pPr>
              <w:spacing w:after="0"/>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29" w:lineRule="exact"/>
        <w:rPr>
          <w:sz w:val="20"/>
          <w:szCs w:val="20"/>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Profit for 3Q21 totaled $15.7 million (+12% QoQ; +2% YoY), mainly due to higher top-line revenues (+5% QoQ; +7% YoY), on improved fee income and a positive quarterly trend in Net Interest Income (“NII”).</w:t>
      </w:r>
    </w:p>
    <w:p>
      <w:pPr>
        <w:spacing w:after="0" w:line="197" w:lineRule="exact"/>
        <w:rPr>
          <w:rFonts w:ascii="Arial" w:cs="Arial" w:eastAsia="Arial" w:hAnsi="Arial"/>
          <w:sz w:val="18"/>
          <w:szCs w:val="18"/>
          <w:color w:val="auto"/>
        </w:rPr>
      </w:pPr>
    </w:p>
    <w:p>
      <w:pPr>
        <w:jc w:val="both"/>
        <w:ind w:left="340" w:hanging="332"/>
        <w:spacing w:after="0" w:line="342" w:lineRule="auto"/>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The Bank’s Profit for 9M21 reached $42.6 million (-11% YoY), mainly due to the net effect on NII of lower market rates on the Bank´s assets and liabilities. Other impacts included credit provisions mainly associated to credit growth compared to reversals in 2020, and higher operating expenses,</w:t>
      </w:r>
    </w:p>
    <w:p>
      <w:pPr>
        <w:sectPr>
          <w:pgSz w:w="11900" w:h="16848" w:orient="portrait"/>
          <w:cols w:equalWidth="0" w:num="1">
            <w:col w:w="11240"/>
          </w:cols>
          <w:pgMar w:left="320" w:top="1440" w:right="339" w:bottom="0" w:gutter="0" w:footer="0" w:header="0"/>
        </w:sectPr>
      </w:pPr>
    </w:p>
    <w:bookmarkStart w:id="3" w:name="page4"/>
    <w:bookmarkEnd w:id="3"/>
    <w:p>
      <w:pPr>
        <w:spacing w:after="0"/>
        <w:rPr>
          <w:sz w:val="20"/>
          <w:szCs w:val="20"/>
          <w:color w:val="auto"/>
        </w:rPr>
      </w:pPr>
      <w:r>
        <w:rPr>
          <w:rFonts w:ascii="Arial" w:cs="Arial" w:eastAsia="Arial" w:hAnsi="Arial"/>
          <w:sz w:val="16"/>
          <w:szCs w:val="16"/>
          <w:color w:val="auto"/>
        </w:rPr>
        <w:t>offsetting higher fees and other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-210185</wp:posOffset>
            </wp:positionH>
            <wp:positionV relativeFrom="paragraph">
              <wp:posOffset>457835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799"/>
          </w:cols>
          <w:pgMar w:left="660" w:top="125" w:right="144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259715</wp:posOffset>
            </wp:positionH>
            <wp:positionV relativeFrom="page">
              <wp:posOffset>586105</wp:posOffset>
            </wp:positionV>
            <wp:extent cx="6995160" cy="13970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6995160" cy="1397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332" w:right="20"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NII quarterly growth trend, up 5% QoQ, to $22.1 million for 3Q21, mainly reflect increased credit portfolio balances, higher lending spreads and lower funding costs, offsetting the impact of lower market rates, mostly accountable for the 2% YoY decrease on NII.</w:t>
      </w:r>
    </w:p>
    <w:p>
      <w:pPr>
        <w:spacing w:after="0" w:line="170" w:lineRule="exact"/>
        <w:rPr>
          <w:rFonts w:ascii="Arial" w:cs="Arial" w:eastAsia="Arial" w:hAnsi="Arial"/>
          <w:sz w:val="18"/>
          <w:szCs w:val="18"/>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Fees and commissions income totaled $4.8 million for 3Q21 (+11% QoQ; +82% YoY), as the Bank saw increased activity in its transaction-based structuring and syndications business and the robust results in the Bank’s letters of credit business.</w:t>
      </w:r>
    </w:p>
    <w:p>
      <w:pPr>
        <w:spacing w:after="0" w:line="170" w:lineRule="exact"/>
        <w:rPr>
          <w:rFonts w:ascii="Arial" w:cs="Arial" w:eastAsia="Arial" w:hAnsi="Arial"/>
          <w:sz w:val="18"/>
          <w:szCs w:val="18"/>
          <w:color w:val="auto"/>
        </w:rPr>
      </w:pPr>
    </w:p>
    <w:p>
      <w:pPr>
        <w:ind w:left="332" w:right="20" w:hanging="332"/>
        <w:spacing w:after="0" w:line="308" w:lineRule="auto"/>
        <w:tabs>
          <w:tab w:leader="none" w:pos="332" w:val="left"/>
        </w:tabs>
        <w:numPr>
          <w:ilvl w:val="0"/>
          <w:numId w:val="2"/>
        </w:numPr>
        <w:rPr>
          <w:rFonts w:ascii="Arial" w:cs="Arial" w:eastAsia="Arial" w:hAnsi="Arial"/>
          <w:sz w:val="17"/>
          <w:szCs w:val="17"/>
          <w:color w:val="auto"/>
        </w:rPr>
      </w:pPr>
      <w:r>
        <w:rPr>
          <w:rFonts w:ascii="Arial" w:cs="Arial" w:eastAsia="Arial" w:hAnsi="Arial"/>
          <w:sz w:val="17"/>
          <w:szCs w:val="17"/>
          <w:color w:val="auto"/>
        </w:rPr>
        <w:t>The Bank’s Credit Portfolio grew 7% QoQ and 31% YoY to reach $7.0 billion at the end of 3Q21, propelled by higher lending origination (+10% QoQ; +53% YoY) and a 78% QoQ increase in its portfolio of credit investment securities to complement the Bank’s lending business.</w:t>
      </w:r>
    </w:p>
    <w:p>
      <w:pPr>
        <w:spacing w:after="0" w:line="146" w:lineRule="exact"/>
        <w:rPr>
          <w:rFonts w:ascii="Arial" w:cs="Arial" w:eastAsia="Arial" w:hAnsi="Arial"/>
          <w:sz w:val="17"/>
          <w:szCs w:val="17"/>
          <w:color w:val="auto"/>
        </w:rPr>
      </w:pPr>
    </w:p>
    <w:p>
      <w:pPr>
        <w:jc w:val="both"/>
        <w:ind w:left="332" w:hanging="332"/>
        <w:spacing w:after="0" w:line="263"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persistent quarterly growth trend in the Commercial Portfolio, reaching $6.2 billion at 3Q21 (+3% QoQ; +22% YoY), was centered on Investment Grade countries (+3 p.p. QoQ). The Bank continues to collect all scheduled loan maturities, evidencing the high quality of its borrower base, as well as the short-term nature of its business (77% maturing in less than a year).</w:t>
      </w:r>
    </w:p>
    <w:p>
      <w:pPr>
        <w:spacing w:after="0" w:line="183" w:lineRule="exact"/>
        <w:rPr>
          <w:rFonts w:ascii="Arial" w:cs="Arial" w:eastAsia="Arial" w:hAnsi="Arial"/>
          <w:sz w:val="18"/>
          <w:szCs w:val="18"/>
          <w:color w:val="auto"/>
        </w:rPr>
      </w:pPr>
    </w:p>
    <w:p>
      <w:pPr>
        <w:ind w:left="332" w:hanging="332"/>
        <w:spacing w:after="0" w:line="308" w:lineRule="auto"/>
        <w:tabs>
          <w:tab w:leader="none" w:pos="332" w:val="left"/>
        </w:tabs>
        <w:numPr>
          <w:ilvl w:val="0"/>
          <w:numId w:val="2"/>
        </w:numPr>
        <w:rPr>
          <w:rFonts w:ascii="Arial" w:cs="Arial" w:eastAsia="Arial" w:hAnsi="Arial"/>
          <w:sz w:val="17"/>
          <w:szCs w:val="17"/>
          <w:color w:val="auto"/>
        </w:rPr>
      </w:pPr>
      <w:r>
        <w:rPr>
          <w:rFonts w:ascii="Arial" w:cs="Arial" w:eastAsia="Arial" w:hAnsi="Arial"/>
          <w:sz w:val="17"/>
          <w:szCs w:val="17"/>
          <w:color w:val="auto"/>
        </w:rPr>
        <w:t>Credit-impaired loans (“NPLs”) remained unchanged from the previous quarter, at $11 million or 0.2% of total loans at the end of 3Q21. Credits with increased risk since origination (Stage 2, under IFRS 9) represented 3%, with the remaining 97% categorized as Stage 1 or low-risk credits.</w:t>
      </w:r>
    </w:p>
    <w:p>
      <w:pPr>
        <w:spacing w:after="0" w:line="146" w:lineRule="exact"/>
        <w:rPr>
          <w:rFonts w:ascii="Arial" w:cs="Arial" w:eastAsia="Arial" w:hAnsi="Arial"/>
          <w:sz w:val="17"/>
          <w:szCs w:val="17"/>
          <w:color w:val="auto"/>
        </w:rPr>
      </w:pPr>
    </w:p>
    <w:p>
      <w:pPr>
        <w:ind w:left="332" w:right="20"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As of September 30, 2021, the total allowance for credit losses amounted to $46.9 million, representing 4.4 times NPL balances. Provision for credit losses of $0.8 million in 3Q21 was mostly associated to credit growth.</w:t>
      </w:r>
    </w:p>
    <w:p>
      <w:pPr>
        <w:spacing w:after="0" w:line="170" w:lineRule="exact"/>
        <w:rPr>
          <w:rFonts w:ascii="Arial" w:cs="Arial" w:eastAsia="Arial" w:hAnsi="Arial"/>
          <w:sz w:val="18"/>
          <w:szCs w:val="18"/>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liquidity position stood at $827 million, or 12% of total assets as of September 30, 2021, supported by its sound and well diversified funding structure, led by the continued steady growth of its deposit base (+1% QoQ; +11% YoY).</w:t>
      </w:r>
    </w:p>
    <w:p>
      <w:pPr>
        <w:spacing w:after="0" w:line="170" w:lineRule="exact"/>
        <w:rPr>
          <w:rFonts w:ascii="Arial" w:cs="Arial" w:eastAsia="Arial" w:hAnsi="Arial"/>
          <w:sz w:val="18"/>
          <w:szCs w:val="18"/>
          <w:color w:val="auto"/>
        </w:rPr>
      </w:pPr>
    </w:p>
    <w:p>
      <w:pPr>
        <w:jc w:val="both"/>
        <w:ind w:left="332" w:hanging="332"/>
        <w:spacing w:after="0" w:line="311" w:lineRule="auto"/>
        <w:tabs>
          <w:tab w:leader="none" w:pos="332" w:val="left"/>
        </w:tabs>
        <w:numPr>
          <w:ilvl w:val="0"/>
          <w:numId w:val="2"/>
        </w:numPr>
        <w:rPr>
          <w:rFonts w:ascii="Arial" w:cs="Arial" w:eastAsia="Arial" w:hAnsi="Arial"/>
          <w:sz w:val="16"/>
          <w:szCs w:val="16"/>
          <w:color w:val="auto"/>
        </w:rPr>
      </w:pPr>
      <w:r>
        <w:rPr>
          <w:rFonts w:ascii="Arial" w:cs="Arial" w:eastAsia="Arial" w:hAnsi="Arial"/>
          <w:sz w:val="16"/>
          <w:szCs w:val="16"/>
          <w:color w:val="auto"/>
        </w:rPr>
        <w:t>As of September 30, 2021, the Bank´s capitalization remained solid with a Tier 1 Basel III Capital Ratio of 21.3% and a Regulatory Capital Adequacy Ratio of 16.9%. Equity levels were down (-2% QoQ; -1% YoY) mainly due to the Bank’s open market stock repurchase program, under which 1.8 million shares for a total of $28.6 million, with an average price of $16.17, have been repurchased since its launching in mid-May of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532130</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1440" w:right="3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276860</wp:posOffset>
            </wp:positionH>
            <wp:positionV relativeFrom="page">
              <wp:posOffset>586105</wp:posOffset>
            </wp:positionV>
            <wp:extent cx="6995160" cy="1397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6995160" cy="13976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ind w:right="80"/>
        <w:spacing w:after="0" w:line="254" w:lineRule="auto"/>
        <w:rPr>
          <w:sz w:val="20"/>
          <w:szCs w:val="20"/>
          <w:color w:val="auto"/>
        </w:rPr>
      </w:pPr>
      <w:r>
        <w:rPr>
          <w:rFonts w:ascii="Arial" w:cs="Arial" w:eastAsia="Arial" w:hAnsi="Arial"/>
          <w:sz w:val="18"/>
          <w:szCs w:val="18"/>
          <w:color w:val="auto"/>
        </w:rPr>
        <w:t>Mr. Jorge Salas, Bladex’s Chief Executive Officer said: “There is no doubt that economic recovery is underway in Latin America and the Caribbean. According to the International Monetary Fund, Real GDP is projected to grow by 6.3 % in 2021, followed by a more moderate rate of 3% in 2022. From an overall perspective, Bladex foresees an heterogenous recovery across Latin America, with the two biggest economies in the Region, Brazil and Mexico, growing at 5.2% and 6.2% respectively this year. High commodity prices, and its pent-up demand, record high remittances in some countries and the reversal of monetary and fiscal policies are the main favorable external conditions. Having said that, the pandemic still casts shadows over parts of the Region, as the recovery was robust in the first quarter of 2021 but lost momentum in the second and third quarters as COVID-19 cases rose again in several countries.”</w:t>
      </w:r>
    </w:p>
    <w:p>
      <w:pPr>
        <w:spacing w:after="0" w:line="195" w:lineRule="exact"/>
        <w:rPr>
          <w:sz w:val="20"/>
          <w:szCs w:val="20"/>
          <w:color w:val="auto"/>
        </w:rPr>
      </w:pPr>
    </w:p>
    <w:p>
      <w:pPr>
        <w:jc w:val="both"/>
        <w:ind w:right="80"/>
        <w:spacing w:after="0" w:line="257" w:lineRule="auto"/>
        <w:rPr>
          <w:sz w:val="20"/>
          <w:szCs w:val="20"/>
          <w:color w:val="auto"/>
        </w:rPr>
      </w:pPr>
      <w:r>
        <w:rPr>
          <w:rFonts w:ascii="Arial" w:cs="Arial" w:eastAsia="Arial" w:hAnsi="Arial"/>
          <w:sz w:val="18"/>
          <w:szCs w:val="18"/>
          <w:color w:val="auto"/>
        </w:rPr>
        <w:t>Mr. Salas added: “In this context, third quarter results improved once again, continuing the positive growth trend in revenues, both from higher interest income, and higher fee income coming from our syndication business and our letters of credit business that is having a record year. The loan book and investment portfolio have now five quarters of consecutive growth, with a combined total of more than $6 billion, surpassing pre-pandemic levels. Solid loan origination was made at higher spreads than the loans matured during the quarter, an inflection point as it reverts the recent downward pressure in spreads experienced since the beginning of the year.”</w:t>
      </w:r>
    </w:p>
    <w:p>
      <w:pPr>
        <w:spacing w:after="0" w:line="188" w:lineRule="exact"/>
        <w:rPr>
          <w:sz w:val="20"/>
          <w:szCs w:val="20"/>
          <w:color w:val="auto"/>
        </w:rPr>
      </w:pPr>
    </w:p>
    <w:p>
      <w:pPr>
        <w:jc w:val="both"/>
        <w:ind w:right="80"/>
        <w:spacing w:after="0" w:line="257" w:lineRule="auto"/>
        <w:rPr>
          <w:sz w:val="20"/>
          <w:szCs w:val="20"/>
          <w:color w:val="auto"/>
        </w:rPr>
      </w:pPr>
      <w:r>
        <w:rPr>
          <w:rFonts w:ascii="Arial" w:cs="Arial" w:eastAsia="Arial" w:hAnsi="Arial"/>
          <w:sz w:val="18"/>
          <w:szCs w:val="18"/>
          <w:color w:val="auto"/>
        </w:rPr>
        <w:t>Mr. Salas concluded: “As I have been stating in previous quarters, after operating for over 40 years in Latin America, Bladex remains cautiously optimistic and uniquely positioned to continue growing and taking advantage of the opportunities that keep arising in a Region that we know very well. The Board decided once again, to maintain the quarterly dividend of 25 cents per share and the share buyback plan announced last May under the open market program continues to be executed as planned, reaffirming our solid results, confidence and commitment in the best interest of our valued shareholders.”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right="20" w:hanging="328"/>
        <w:spacing w:after="0" w:line="282"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The Board approved a quarterly common dividend of $0.25 per share corresponding to the third quarter 2021. The</w:t>
      </w:r>
      <w:r>
        <w:rPr>
          <w:rFonts w:ascii="Arial" w:cs="Arial" w:eastAsia="Arial" w:hAnsi="Arial"/>
          <w:sz w:val="18"/>
          <w:szCs w:val="18"/>
          <w:b w:val="1"/>
          <w:bCs w:val="1"/>
          <w:color w:val="auto"/>
        </w:rPr>
        <w:t xml:space="preserve"> </w:t>
      </w:r>
      <w:r>
        <w:rPr>
          <w:rFonts w:ascii="Arial" w:cs="Arial" w:eastAsia="Arial" w:hAnsi="Arial"/>
          <w:sz w:val="18"/>
          <w:szCs w:val="18"/>
          <w:color w:val="auto"/>
        </w:rPr>
        <w:t>cash dividend will be paid on November 23, 2021, to shareholders registered as of November 9, 2021.</w:t>
      </w:r>
    </w:p>
    <w:p>
      <w:pPr>
        <w:spacing w:after="0" w:line="161" w:lineRule="exact"/>
        <w:rPr>
          <w:rFonts w:ascii="Arial" w:cs="Arial" w:eastAsia="Arial" w:hAnsi="Arial"/>
          <w:sz w:val="18"/>
          <w:szCs w:val="18"/>
          <w:color w:val="auto"/>
        </w:rPr>
      </w:pPr>
    </w:p>
    <w:p>
      <w:pPr>
        <w:jc w:val="both"/>
        <w:ind w:left="660" w:hanging="328"/>
        <w:spacing w:after="0" w:line="266"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Rating update: </w:t>
      </w:r>
      <w:r>
        <w:rPr>
          <w:rFonts w:ascii="Arial" w:cs="Arial" w:eastAsia="Arial" w:hAnsi="Arial"/>
          <w:sz w:val="18"/>
          <w:szCs w:val="18"/>
          <w:color w:val="auto"/>
        </w:rPr>
        <w:t>On September 1, 2021, Fitch Ratings affirmed the Bank’s Long- and Short-Term Foreign Currency Issuer Default Rating (IDR) at</w:t>
      </w:r>
      <w:r>
        <w:rPr>
          <w:rFonts w:ascii="Arial" w:cs="Arial" w:eastAsia="Arial" w:hAnsi="Arial"/>
          <w:sz w:val="18"/>
          <w:szCs w:val="18"/>
          <w:b w:val="1"/>
          <w:bCs w:val="1"/>
          <w:color w:val="auto"/>
        </w:rPr>
        <w:t xml:space="preserve"> </w:t>
      </w:r>
      <w:r>
        <w:rPr>
          <w:rFonts w:ascii="Arial" w:cs="Arial" w:eastAsia="Arial" w:hAnsi="Arial"/>
          <w:sz w:val="18"/>
          <w:szCs w:val="18"/>
          <w:color w:val="auto"/>
        </w:rPr>
        <w:t>“BBB/F3”, respectively. The outlook was revised to “Stable” from “Negative”, resulting from the same action on the trend of Fitch’s assessment of the Bank’s regional operating environment.</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00" w:lineRule="exact"/>
        <w:rPr>
          <w:sz w:val="20"/>
          <w:szCs w:val="20"/>
          <w:color w:val="auto"/>
        </w:rPr>
      </w:pPr>
    </w:p>
    <w:p>
      <w:pPr>
        <w:spacing w:after="0" w:line="25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276860</wp:posOffset>
            </wp:positionH>
            <wp:positionV relativeFrom="page">
              <wp:posOffset>448945</wp:posOffset>
            </wp:positionV>
            <wp:extent cx="6995160" cy="13970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6995160" cy="1397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660" w:right="8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right="80" w:hanging="328"/>
        <w:spacing w:after="0" w:line="311" w:lineRule="auto"/>
        <w:tabs>
          <w:tab w:leader="none" w:pos="660" w:val="left"/>
        </w:tabs>
        <w:numPr>
          <w:ilvl w:val="0"/>
          <w:numId w:val="6"/>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48" w:lineRule="exact"/>
        <w:rPr>
          <w:rFonts w:ascii="Arial" w:cs="Arial" w:eastAsia="Arial" w:hAnsi="Arial"/>
          <w:sz w:val="16"/>
          <w:szCs w:val="16"/>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3"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83" w:lineRule="exact"/>
        <w:rPr>
          <w:rFonts w:ascii="Arial" w:cs="Arial" w:eastAsia="Arial" w:hAnsi="Arial"/>
          <w:sz w:val="18"/>
          <w:szCs w:val="18"/>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83" w:lineRule="exact"/>
        <w:rPr>
          <w:rFonts w:ascii="Arial" w:cs="Arial" w:eastAsia="Arial" w:hAnsi="Arial"/>
          <w:sz w:val="18"/>
          <w:szCs w:val="18"/>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83" w:lineRule="exact"/>
        <w:rPr>
          <w:rFonts w:ascii="Arial" w:cs="Arial" w:eastAsia="Arial" w:hAnsi="Arial"/>
          <w:sz w:val="18"/>
          <w:szCs w:val="18"/>
          <w:color w:val="auto"/>
        </w:rPr>
      </w:pPr>
    </w:p>
    <w:p>
      <w:pPr>
        <w:ind w:left="660" w:right="8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3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22244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6130" cy="2224405"/>
                    </a:xfrm>
                    <a:prstGeom prst="rect">
                      <a:avLst/>
                    </a:prstGeom>
                    <a:noFill/>
                  </pic:spPr>
                </pic:pic>
              </a:graphicData>
            </a:graphic>
          </wp:anchor>
        </w:drawing>
      </w:r>
    </w:p>
    <w:p>
      <w:pPr>
        <w:spacing w:after="0" w:line="223" w:lineRule="exact"/>
        <w:rPr>
          <w:sz w:val="20"/>
          <w:szCs w:val="20"/>
          <w:color w:val="auto"/>
        </w:rPr>
      </w:pPr>
    </w:p>
    <w:p>
      <w:pPr>
        <w:jc w:val="both"/>
        <w:ind w:left="60" w:right="60"/>
        <w:spacing w:after="0" w:line="285"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605"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276860</wp:posOffset>
            </wp:positionH>
            <wp:positionV relativeFrom="page">
              <wp:posOffset>586105</wp:posOffset>
            </wp:positionV>
            <wp:extent cx="7003415" cy="10369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003415" cy="10369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39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ind w:right="80"/>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Friday, October 29, 2021 at 11:00 a.m. New York City time (Eastern Time). For those interested in participating, please dial 1-877-271-1828 in the United States or, if outside the United States, 1-334-323-9871. Participants should use conference passcode 43047589,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1" w:lineRule="exact"/>
        <w:rPr>
          <w:sz w:val="20"/>
          <w:szCs w:val="20"/>
          <w:color w:val="auto"/>
        </w:rPr>
      </w:pPr>
    </w:p>
    <w:p>
      <w:pPr>
        <w:jc w:val="both"/>
        <w:ind w:right="8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48578833.</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285115</wp:posOffset>
            </wp:positionH>
            <wp:positionV relativeFrom="page">
              <wp:posOffset>586105</wp:posOffset>
            </wp:positionV>
            <wp:extent cx="7003415" cy="10369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003415" cy="1036955"/>
                    </a:xfrm>
                    <a:prstGeom prst="rect">
                      <a:avLst/>
                    </a:prstGeom>
                    <a:noFill/>
                  </pic:spPr>
                </pic:pic>
              </a:graphicData>
            </a:graphic>
          </wp:anchor>
        </w:drawing>
        <w:drawing>
          <wp:anchor simplePos="0" relativeHeight="251657728" behindDoc="1" locked="0" layoutInCell="0" allowOverlap="1">
            <wp:simplePos x="0" y="0"/>
            <wp:positionH relativeFrom="page">
              <wp:posOffset>2831465</wp:posOffset>
            </wp:positionH>
            <wp:positionV relativeFrom="page">
              <wp:posOffset>3303270</wp:posOffset>
            </wp:positionV>
            <wp:extent cx="1851660" cy="14662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1851660" cy="14662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10040"/>
        <w:spacing w:after="0"/>
        <w:rPr>
          <w:sz w:val="20"/>
          <w:szCs w:val="20"/>
          <w:color w:val="auto"/>
        </w:rPr>
      </w:pPr>
      <w:r>
        <w:rPr>
          <w:rFonts w:ascii="Arial" w:cs="Arial" w:eastAsia="Arial" w:hAnsi="Arial"/>
          <w:sz w:val="13"/>
          <w:szCs w:val="13"/>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51435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0120"/>
      </w:cols>
      <w:pgMar w:left="144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1)"/>
      <w:numFmt w:val="decimal"/>
      <w:start w:val="1"/>
    </w:lvl>
  </w:abstractNum>
  <w:abstractNum w:abstractNumId="5">
    <w:nsid w:val="507ED7AB"/>
    <w:multiLevelType w:val="hybridMultilevel"/>
    <w:lvl w:ilvl="0">
      <w:lvlJc w:val="left"/>
      <w:lvlText w:val="%1)"/>
      <w:numFmt w:val="decimal"/>
      <w:start w:val="4"/>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2021-10-29T16:16:39Z</dcterms:created>
  <dcterms:modified xsi:type="dcterms:W3CDTF">2021-10-29T16:16:39Z</dcterms:modified>
</cp:coreProperties>
</file>